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048" w:rsidRDefault="00BF4048" w:rsidP="00BF4048">
      <w:pPr>
        <w:spacing w:line="480" w:lineRule="auto"/>
        <w:jc w:val="center"/>
        <w:rPr>
          <w:rFonts w:ascii="Times New Roman" w:hAnsi="Times New Roman" w:cs="Times New Roman"/>
          <w:sz w:val="24"/>
          <w:szCs w:val="24"/>
        </w:rPr>
      </w:pPr>
    </w:p>
    <w:p w:rsidR="00BF4048" w:rsidRDefault="00BF4048" w:rsidP="00BF4048">
      <w:pPr>
        <w:spacing w:line="480" w:lineRule="auto"/>
        <w:jc w:val="center"/>
        <w:rPr>
          <w:rFonts w:ascii="Times New Roman" w:hAnsi="Times New Roman" w:cs="Times New Roman"/>
          <w:sz w:val="24"/>
          <w:szCs w:val="24"/>
        </w:rPr>
      </w:pPr>
    </w:p>
    <w:p w:rsidR="00BF4048" w:rsidRDefault="00BF4048" w:rsidP="00BF4048">
      <w:pPr>
        <w:spacing w:line="480" w:lineRule="auto"/>
        <w:jc w:val="center"/>
        <w:rPr>
          <w:rFonts w:ascii="Times New Roman" w:hAnsi="Times New Roman" w:cs="Times New Roman"/>
          <w:sz w:val="24"/>
          <w:szCs w:val="24"/>
        </w:rPr>
      </w:pPr>
    </w:p>
    <w:p w:rsidR="00BF4048" w:rsidRDefault="00BF4048" w:rsidP="00BF4048">
      <w:pPr>
        <w:spacing w:line="480" w:lineRule="auto"/>
        <w:jc w:val="center"/>
        <w:rPr>
          <w:rFonts w:ascii="Times New Roman" w:hAnsi="Times New Roman" w:cs="Times New Roman"/>
          <w:sz w:val="24"/>
          <w:szCs w:val="24"/>
        </w:rPr>
      </w:pPr>
    </w:p>
    <w:p w:rsidR="00BF4048" w:rsidRDefault="00BF4048" w:rsidP="00BF4048">
      <w:pPr>
        <w:spacing w:line="480" w:lineRule="auto"/>
        <w:jc w:val="center"/>
        <w:rPr>
          <w:rFonts w:ascii="Times New Roman" w:hAnsi="Times New Roman" w:cs="Times New Roman"/>
          <w:sz w:val="24"/>
          <w:szCs w:val="24"/>
        </w:rPr>
      </w:pPr>
    </w:p>
    <w:p w:rsidR="00BF4048" w:rsidRPr="00BF4048" w:rsidRDefault="00BF4048" w:rsidP="00874768">
      <w:pPr>
        <w:spacing w:line="480" w:lineRule="auto"/>
        <w:jc w:val="center"/>
        <w:rPr>
          <w:rFonts w:ascii="Times New Roman" w:hAnsi="Times New Roman" w:cs="Times New Roman"/>
          <w:sz w:val="24"/>
          <w:szCs w:val="24"/>
        </w:rPr>
      </w:pPr>
      <w:r w:rsidRPr="00BF4048">
        <w:rPr>
          <w:rFonts w:ascii="Times New Roman" w:hAnsi="Times New Roman" w:cs="Times New Roman"/>
          <w:sz w:val="24"/>
          <w:szCs w:val="24"/>
        </w:rPr>
        <w:t>Gender</w:t>
      </w:r>
    </w:p>
    <w:p w:rsidR="00874768" w:rsidRPr="000E7723" w:rsidRDefault="00874768" w:rsidP="00874768">
      <w:pPr>
        <w:spacing w:after="0" w:line="480" w:lineRule="auto"/>
        <w:jc w:val="center"/>
        <w:rPr>
          <w:rFonts w:ascii="Times New Roman" w:eastAsia="Times New Roman" w:hAnsi="Times New Roman" w:cs="Times New Roman"/>
          <w:color w:val="000000"/>
          <w:sz w:val="24"/>
          <w:szCs w:val="24"/>
        </w:rPr>
      </w:pPr>
      <w:r w:rsidRPr="000E7723">
        <w:rPr>
          <w:rFonts w:ascii="Times New Roman" w:eastAsia="Times New Roman" w:hAnsi="Times New Roman" w:cs="Times New Roman"/>
          <w:color w:val="000000"/>
          <w:sz w:val="24"/>
          <w:szCs w:val="24"/>
        </w:rPr>
        <w:t>Student’s Name</w:t>
      </w:r>
    </w:p>
    <w:p w:rsidR="00874768" w:rsidRDefault="00874768" w:rsidP="00874768">
      <w:pPr>
        <w:spacing w:after="0" w:line="480" w:lineRule="auto"/>
        <w:jc w:val="center"/>
        <w:rPr>
          <w:rFonts w:ascii="Times New Roman" w:eastAsia="Times New Roman" w:hAnsi="Times New Roman" w:cs="Times New Roman"/>
          <w:color w:val="000000"/>
          <w:sz w:val="24"/>
          <w:szCs w:val="24"/>
        </w:rPr>
      </w:pPr>
      <w:r w:rsidRPr="000E7723">
        <w:rPr>
          <w:rFonts w:ascii="Times New Roman" w:eastAsia="Times New Roman" w:hAnsi="Times New Roman" w:cs="Times New Roman"/>
          <w:color w:val="000000"/>
          <w:sz w:val="24"/>
          <w:szCs w:val="24"/>
        </w:rPr>
        <w:t>Institutional Affiliation</w:t>
      </w:r>
    </w:p>
    <w:p w:rsidR="009D6FA9" w:rsidRDefault="009D6FA9" w:rsidP="00874768">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Course</w:t>
      </w:r>
    </w:p>
    <w:p w:rsidR="009D6FA9" w:rsidRDefault="009D6FA9" w:rsidP="00874768">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rsidR="009D6FA9" w:rsidRPr="000E7723" w:rsidRDefault="009D6FA9" w:rsidP="00874768">
      <w:pPr>
        <w:spacing w:after="0" w:line="480" w:lineRule="auto"/>
        <w:jc w:val="center"/>
        <w:rPr>
          <w:rFonts w:ascii="Times New Roman" w:eastAsia="Times New Roman" w:hAnsi="Times New Roman" w:cs="Times New Roman"/>
          <w:color w:val="000000"/>
          <w:sz w:val="24"/>
          <w:szCs w:val="24"/>
        </w:rPr>
      </w:pPr>
    </w:p>
    <w:p w:rsidR="00BF4048" w:rsidRPr="00BF4048" w:rsidRDefault="00BF4048" w:rsidP="00BF4048">
      <w:pPr>
        <w:spacing w:line="480" w:lineRule="auto"/>
        <w:jc w:val="center"/>
        <w:rPr>
          <w:rFonts w:ascii="Times New Roman" w:hAnsi="Times New Roman" w:cs="Times New Roman"/>
          <w:sz w:val="24"/>
          <w:szCs w:val="24"/>
        </w:rPr>
      </w:pPr>
      <w:r w:rsidRPr="00BF4048">
        <w:rPr>
          <w:rFonts w:ascii="Times New Roman" w:hAnsi="Times New Roman" w:cs="Times New Roman"/>
          <w:sz w:val="24"/>
          <w:szCs w:val="24"/>
        </w:rPr>
        <w:br w:type="page"/>
      </w:r>
    </w:p>
    <w:p w:rsidR="001708C3" w:rsidRPr="00D307EA" w:rsidRDefault="00977A8E" w:rsidP="00D307EA">
      <w:pPr>
        <w:spacing w:line="480" w:lineRule="auto"/>
        <w:jc w:val="center"/>
        <w:rPr>
          <w:rFonts w:ascii="Times New Roman" w:hAnsi="Times New Roman" w:cs="Times New Roman"/>
          <w:b/>
          <w:sz w:val="24"/>
          <w:szCs w:val="24"/>
        </w:rPr>
      </w:pPr>
      <w:r w:rsidRPr="00D307EA">
        <w:rPr>
          <w:rFonts w:ascii="Times New Roman" w:hAnsi="Times New Roman" w:cs="Times New Roman"/>
          <w:b/>
          <w:sz w:val="24"/>
          <w:szCs w:val="24"/>
        </w:rPr>
        <w:lastRenderedPageBreak/>
        <w:t>Introduction</w:t>
      </w:r>
    </w:p>
    <w:p w:rsidR="00884AC4" w:rsidRPr="00884AC4" w:rsidRDefault="00884AC4" w:rsidP="00884AC4">
      <w:pPr>
        <w:pStyle w:val="NormalWeb"/>
        <w:spacing w:before="0" w:beforeAutospacing="0" w:after="0" w:afterAutospacing="0" w:line="480" w:lineRule="auto"/>
        <w:ind w:firstLine="720"/>
        <w:rPr>
          <w:color w:val="1C1E29"/>
        </w:rPr>
      </w:pPr>
      <w:r w:rsidRPr="00884AC4">
        <w:rPr>
          <w:color w:val="1C1E29"/>
        </w:rPr>
        <w:t>Generally, gender refers to the attributes of masculine and feminine in society such as role, identity, and individual’s concepts of themselves. These attributes can be socio-economic, cultural or even political that are associated with male or female. Due to the cultural and overtime changes, the common gender definition of either male or female has evolved to attributes of specific characteristics and functions pointed towards a particular group of individuals on basis of their sex and sexuality (Rawal, 2017). Gender analysis, however, takes the form of describing, organizing and interpreting a particular environment, information relating to gender in a certain ethnic group, community, and even a nation, thus differentiating gender roles towards attaining development objectives in the society. </w:t>
      </w:r>
    </w:p>
    <w:p w:rsidR="00884AC4" w:rsidRPr="00884AC4" w:rsidRDefault="00884AC4" w:rsidP="00884AC4">
      <w:pPr>
        <w:pStyle w:val="NormalWeb"/>
        <w:spacing w:before="0" w:beforeAutospacing="0" w:after="0" w:afterAutospacing="0" w:line="480" w:lineRule="auto"/>
        <w:ind w:firstLine="720"/>
        <w:rPr>
          <w:color w:val="1C1E29"/>
        </w:rPr>
      </w:pPr>
      <w:r w:rsidRPr="00884AC4">
        <w:rPr>
          <w:color w:val="1C1E29"/>
        </w:rPr>
        <w:t>Gender identification is how an individual feel and expresses himself or herself. Ways such as clothing, behavior, and appearances are some of how one can express their identity. Female’s norms in terms of clothing were putting on skirts and dresses while the male was to wear a pair of trousers and shorts. Therefore, gender expression can be done through various means and ways such as roles an individual play in society, behavioral actions. </w:t>
      </w:r>
    </w:p>
    <w:p w:rsidR="00884AC4" w:rsidRPr="00884AC4" w:rsidRDefault="00884AC4" w:rsidP="00884AC4">
      <w:pPr>
        <w:pStyle w:val="NormalWeb"/>
        <w:spacing w:before="0" w:beforeAutospacing="0" w:after="0" w:afterAutospacing="0" w:line="480" w:lineRule="auto"/>
        <w:ind w:firstLine="720"/>
        <w:rPr>
          <w:color w:val="1C1E29"/>
        </w:rPr>
      </w:pPr>
      <w:r w:rsidRPr="00884AC4">
        <w:rPr>
          <w:color w:val="1C1E29"/>
        </w:rPr>
        <w:t xml:space="preserve">From ancient times, gender roles for men and women contrast significantly in different cultures. Male was viewed as father figures and head of the family with females taking the motherly duties in the society. Therefore, males were to meet gradually and make a decision for society as the female prepare meals and look after children (O'Brien, 2019). This led to the segregation of duties, as women were not to work outside the home. In relation, the society had the notion that women's working areas were cooking, house cleaning, giving birth and taking care of husbands and children. The work environment was majorly for men hence no place for a female. On the other hand, men were responsible for providing food, clothing, and shelter for the </w:t>
      </w:r>
      <w:r w:rsidRPr="00884AC4">
        <w:rPr>
          <w:color w:val="1C1E29"/>
        </w:rPr>
        <w:lastRenderedPageBreak/>
        <w:t>female and children, and the making of the family final decision in case of conversation. However, due to a change in perception and education, everyone can have their say and at times females can have their way. </w:t>
      </w:r>
    </w:p>
    <w:p w:rsidR="00884AC4" w:rsidRPr="00884AC4" w:rsidRDefault="00884AC4" w:rsidP="00884AC4">
      <w:pPr>
        <w:pStyle w:val="NormalWeb"/>
        <w:spacing w:before="0" w:beforeAutospacing="0" w:after="0" w:afterAutospacing="0" w:line="480" w:lineRule="auto"/>
        <w:ind w:firstLine="720"/>
        <w:rPr>
          <w:color w:val="1C1E29"/>
        </w:rPr>
      </w:pPr>
      <w:r w:rsidRPr="00884AC4">
        <w:rPr>
          <w:color w:val="1C1E29"/>
        </w:rPr>
        <w:t>Female was not regarded as members of the community hence the differences in levels of their achievements and access. These differences result from cultural practices, biases in religious beliefs, socio-economic assumptions, myths and/or cultural taboos. On matters of education, men were a priority, as a result, a female was forced to early marriages to elderly people for the exchange of cattle that were used to pay school fees for the male. This resulted in male dominance not only in the education sector but also the society living the female sidelined and helpless (Richardson &amp; Taylor, 2019). As a result, male-controlled the female with the female submitting to the male without protest. However, constant female empowerment programs that advocate for female education and female recognition in the society have enabled the female to compete equitably with a male in the education sector and even the job market for the scarce employment opportunities. </w:t>
      </w:r>
    </w:p>
    <w:p w:rsidR="00884AC4" w:rsidRPr="00884AC4" w:rsidRDefault="00884AC4" w:rsidP="00884AC4">
      <w:pPr>
        <w:pStyle w:val="NormalWeb"/>
        <w:spacing w:before="0" w:beforeAutospacing="0" w:after="0" w:afterAutospacing="0" w:line="480" w:lineRule="auto"/>
        <w:ind w:firstLine="720"/>
        <w:rPr>
          <w:color w:val="1C1E29"/>
        </w:rPr>
      </w:pPr>
      <w:r w:rsidRPr="00884AC4">
        <w:rPr>
          <w:color w:val="1C1E29"/>
        </w:rPr>
        <w:t>Equity among the genders in a society is important in achieving the overall success of the community. The perspective of educating a female is like educating a whole community has contributed to the recognition and appreciation of both genders. The application of both genders in actions such as discussion, policies, and programs making, and legislation, has brought about conscience and experience in society as an integral center of the design, implementation, evaluation, and monitoring of societal educational learning’s sphere. The interaction and equality of men and women in society are vital in achieving and promoting societal ethical conduct and promoting morale in children to grow as a responsible person with limits of inequality. </w:t>
      </w:r>
    </w:p>
    <w:p w:rsidR="00884AC4" w:rsidRPr="00884AC4" w:rsidRDefault="00884AC4" w:rsidP="00884AC4">
      <w:pPr>
        <w:pStyle w:val="NormalWeb"/>
        <w:spacing w:before="0" w:beforeAutospacing="0" w:after="0" w:afterAutospacing="0" w:line="480" w:lineRule="auto"/>
        <w:ind w:firstLine="720"/>
        <w:rPr>
          <w:color w:val="1C1E29"/>
        </w:rPr>
      </w:pPr>
      <w:r w:rsidRPr="00884AC4">
        <w:rPr>
          <w:color w:val="1C1E29"/>
        </w:rPr>
        <w:lastRenderedPageBreak/>
        <w:t>Regarding both genders irrespective of the cultural beliefs and norms in society is much important as different gender has got their unique capabilities that when combined can make the society not only a better place but also a potential source of nurturing children capabilities. For examples, when taking care of children become a collective responsibility of both male and female, children will grow with a mentality of gender equality and with morally acceptable norm belongingness. This will promote gender neutrality in society hence a collective approach towards all community processes (O'Brien, 2019). </w:t>
      </w:r>
    </w:p>
    <w:p w:rsidR="00884AC4" w:rsidRPr="00884AC4" w:rsidRDefault="00884AC4" w:rsidP="00884AC4">
      <w:pPr>
        <w:pStyle w:val="NormalWeb"/>
        <w:spacing w:before="0" w:beforeAutospacing="0" w:after="0" w:afterAutospacing="0" w:line="480" w:lineRule="auto"/>
        <w:ind w:firstLine="720"/>
        <w:rPr>
          <w:color w:val="1C1E29"/>
        </w:rPr>
      </w:pPr>
      <w:r w:rsidRPr="00884AC4">
        <w:rPr>
          <w:color w:val="1C1E29"/>
        </w:rPr>
        <w:t>Despite the known male and female, transgender is another type of gender whereby it refers to individuals that their identity, behavior and/or expression do not represent their biological sexual organs. An example is Hijras/Eunuchs, known as the third gender since they are neither male nor female in identification. Therefore, the terms transgender encompasses a vast range of individualities and capabilities such as pre, post and non-operative transsexual persons that identify with contrary gender to their birth sex. </w:t>
      </w:r>
    </w:p>
    <w:p w:rsidR="00884AC4" w:rsidRPr="00884AC4" w:rsidRDefault="00884AC4" w:rsidP="00884AC4">
      <w:pPr>
        <w:pStyle w:val="NormalWeb"/>
        <w:spacing w:before="0" w:beforeAutospacing="0" w:after="0" w:afterAutospacing="0" w:line="480" w:lineRule="auto"/>
        <w:jc w:val="center"/>
        <w:rPr>
          <w:color w:val="1C1E29"/>
        </w:rPr>
      </w:pPr>
      <w:r w:rsidRPr="00884AC4">
        <w:rPr>
          <w:rStyle w:val="Strong"/>
          <w:color w:val="1C1E29"/>
        </w:rPr>
        <w:t>Conclusion</w:t>
      </w:r>
    </w:p>
    <w:p w:rsidR="00D307EA" w:rsidRPr="00884AC4" w:rsidRDefault="00884AC4" w:rsidP="00884AC4">
      <w:pPr>
        <w:pStyle w:val="NormalWeb"/>
        <w:spacing w:before="0" w:beforeAutospacing="0" w:after="0" w:afterAutospacing="0" w:line="480" w:lineRule="auto"/>
        <w:ind w:firstLine="720"/>
        <w:rPr>
          <w:color w:val="1C1E29"/>
        </w:rPr>
      </w:pPr>
      <w:r w:rsidRPr="00884AC4">
        <w:rPr>
          <w:color w:val="1C1E29"/>
        </w:rPr>
        <w:t>To conclude, gender involves a sociocultural countenance of particular physiognomies and characters that are contributed by a specific group of individuals with an allusion to their sex and sexuality. To identify effectively specific individuals to the right gender, certain aspects like roles they play, dressing cord and behavior are vital. Male up to recently were regarded as family final decision-makers, family providers and even heads of family, which make them more important than the females. Female, on the other hand, was responsible for home activities like cleaning and taking care of the children. However, through education and western-cultural initiatives, equality, mainstreaming, and neutrality has resulted in the incorporation of female in the society thus advocating for them for consideration as members of the society. </w:t>
      </w:r>
      <w:bookmarkStart w:id="0" w:name="_GoBack"/>
      <w:bookmarkEnd w:id="0"/>
    </w:p>
    <w:p w:rsidR="00D307EA" w:rsidRPr="00486CE6" w:rsidRDefault="00D307EA" w:rsidP="00D307EA">
      <w:pPr>
        <w:spacing w:line="480" w:lineRule="auto"/>
        <w:ind w:firstLine="720"/>
        <w:jc w:val="center"/>
        <w:rPr>
          <w:rFonts w:ascii="Times New Roman" w:hAnsi="Times New Roman" w:cs="Times New Roman"/>
          <w:bCs/>
          <w:sz w:val="24"/>
          <w:szCs w:val="24"/>
        </w:rPr>
      </w:pPr>
      <w:r w:rsidRPr="00486CE6">
        <w:rPr>
          <w:rFonts w:ascii="Times New Roman" w:hAnsi="Times New Roman" w:cs="Times New Roman"/>
          <w:bCs/>
          <w:sz w:val="24"/>
          <w:szCs w:val="24"/>
        </w:rPr>
        <w:lastRenderedPageBreak/>
        <w:t>Reference</w:t>
      </w:r>
      <w:r w:rsidR="009D6FA9">
        <w:rPr>
          <w:rFonts w:ascii="Times New Roman" w:hAnsi="Times New Roman" w:cs="Times New Roman"/>
          <w:bCs/>
          <w:sz w:val="24"/>
          <w:szCs w:val="24"/>
        </w:rPr>
        <w:t>s</w:t>
      </w:r>
    </w:p>
    <w:p w:rsidR="00486CE6" w:rsidRPr="00486CE6" w:rsidRDefault="00486CE6" w:rsidP="00D307EA">
      <w:pPr>
        <w:spacing w:line="480" w:lineRule="auto"/>
        <w:ind w:left="720" w:hanging="720"/>
        <w:jc w:val="both"/>
        <w:rPr>
          <w:rFonts w:ascii="Times New Roman" w:hAnsi="Times New Roman" w:cs="Times New Roman"/>
          <w:color w:val="333333"/>
          <w:sz w:val="24"/>
          <w:szCs w:val="24"/>
          <w:shd w:val="clear" w:color="auto" w:fill="FFFFFF"/>
        </w:rPr>
      </w:pPr>
      <w:r w:rsidRPr="00486CE6">
        <w:rPr>
          <w:rFonts w:ascii="Times New Roman" w:hAnsi="Times New Roman" w:cs="Times New Roman"/>
          <w:sz w:val="24"/>
          <w:szCs w:val="24"/>
        </w:rPr>
        <w:t xml:space="preserve">In Richardson, L., &amp; In Taylor, V. A. (2019). </w:t>
      </w:r>
      <w:r w:rsidRPr="00486CE6">
        <w:rPr>
          <w:rFonts w:ascii="Times New Roman" w:hAnsi="Times New Roman" w:cs="Times New Roman"/>
          <w:i/>
          <w:iCs/>
          <w:sz w:val="24"/>
          <w:szCs w:val="24"/>
        </w:rPr>
        <w:t>Feminist frontiers II: Rethinking sex, gender, and society</w:t>
      </w:r>
      <w:r w:rsidRPr="00486CE6">
        <w:rPr>
          <w:rFonts w:ascii="Times New Roman" w:hAnsi="Times New Roman" w:cs="Times New Roman"/>
          <w:sz w:val="24"/>
          <w:szCs w:val="24"/>
        </w:rPr>
        <w:t>. New York, NY: Random House.</w:t>
      </w:r>
    </w:p>
    <w:p w:rsidR="00486CE6" w:rsidRPr="00486CE6" w:rsidRDefault="00486CE6" w:rsidP="00D307EA">
      <w:pPr>
        <w:spacing w:line="480" w:lineRule="auto"/>
        <w:ind w:left="720" w:hanging="720"/>
        <w:jc w:val="both"/>
        <w:rPr>
          <w:rFonts w:ascii="Times New Roman" w:hAnsi="Times New Roman" w:cs="Times New Roman"/>
          <w:sz w:val="24"/>
          <w:szCs w:val="24"/>
        </w:rPr>
      </w:pPr>
      <w:r w:rsidRPr="00486CE6">
        <w:rPr>
          <w:rFonts w:ascii="Times New Roman" w:hAnsi="Times New Roman" w:cs="Times New Roman"/>
          <w:sz w:val="24"/>
          <w:szCs w:val="24"/>
        </w:rPr>
        <w:t xml:space="preserve">O'Brien, J. (2019). </w:t>
      </w:r>
      <w:r w:rsidRPr="00486CE6">
        <w:rPr>
          <w:rFonts w:ascii="Times New Roman" w:hAnsi="Times New Roman" w:cs="Times New Roman"/>
          <w:i/>
          <w:iCs/>
          <w:sz w:val="24"/>
          <w:szCs w:val="24"/>
        </w:rPr>
        <w:t>Encyclopedia of gender and society</w:t>
      </w:r>
      <w:r w:rsidRPr="00486CE6">
        <w:rPr>
          <w:rFonts w:ascii="Times New Roman" w:hAnsi="Times New Roman" w:cs="Times New Roman"/>
          <w:sz w:val="24"/>
          <w:szCs w:val="24"/>
        </w:rPr>
        <w:t>. Los Angeles, Calif: SAGE Publications.</w:t>
      </w:r>
    </w:p>
    <w:p w:rsidR="00486CE6" w:rsidRPr="00486CE6" w:rsidRDefault="00486CE6" w:rsidP="00D307EA">
      <w:pPr>
        <w:spacing w:line="480" w:lineRule="auto"/>
        <w:ind w:left="720" w:hanging="720"/>
        <w:jc w:val="both"/>
        <w:rPr>
          <w:rStyle w:val="itempublisher"/>
          <w:rFonts w:ascii="Times New Roman" w:hAnsi="Times New Roman" w:cs="Times New Roman"/>
          <w:sz w:val="24"/>
          <w:szCs w:val="24"/>
        </w:rPr>
      </w:pPr>
      <w:r w:rsidRPr="00486CE6">
        <w:rPr>
          <w:rFonts w:ascii="Times New Roman" w:hAnsi="Times New Roman" w:cs="Times New Roman"/>
          <w:sz w:val="24"/>
          <w:szCs w:val="24"/>
        </w:rPr>
        <w:t xml:space="preserve">Rawal, A. (2017). </w:t>
      </w:r>
      <w:r w:rsidRPr="00486CE6">
        <w:rPr>
          <w:rFonts w:ascii="Times New Roman" w:hAnsi="Times New Roman" w:cs="Times New Roman"/>
          <w:i/>
          <w:iCs/>
          <w:sz w:val="24"/>
          <w:szCs w:val="24"/>
        </w:rPr>
        <w:t>Gender and society</w:t>
      </w:r>
      <w:r w:rsidRPr="00486CE6">
        <w:rPr>
          <w:rFonts w:ascii="Times New Roman" w:hAnsi="Times New Roman" w:cs="Times New Roman"/>
          <w:sz w:val="24"/>
          <w:szCs w:val="24"/>
        </w:rPr>
        <w:t>.</w:t>
      </w:r>
      <w:r w:rsidRPr="00486CE6">
        <w:rPr>
          <w:rStyle w:val="itempublisher"/>
          <w:rFonts w:ascii="Times New Roman" w:hAnsi="Times New Roman" w:cs="Times New Roman"/>
          <w:sz w:val="24"/>
          <w:szCs w:val="24"/>
        </w:rPr>
        <w:t>New Delhi: Vishvabharti Publications, 2017.</w:t>
      </w:r>
    </w:p>
    <w:p w:rsidR="00D307EA" w:rsidRDefault="00D307EA" w:rsidP="00D307EA">
      <w:pPr>
        <w:spacing w:line="480" w:lineRule="auto"/>
        <w:rPr>
          <w:color w:val="333333"/>
          <w:shd w:val="clear" w:color="auto" w:fill="FFFFFF"/>
        </w:rPr>
      </w:pPr>
    </w:p>
    <w:p w:rsidR="00D307EA" w:rsidRPr="00977A8E" w:rsidRDefault="00D307EA" w:rsidP="00D307EA">
      <w:pPr>
        <w:spacing w:line="480" w:lineRule="auto"/>
        <w:ind w:firstLine="720"/>
        <w:rPr>
          <w:rFonts w:ascii="Times New Roman" w:hAnsi="Times New Roman" w:cs="Times New Roman"/>
          <w:sz w:val="24"/>
          <w:szCs w:val="24"/>
        </w:rPr>
      </w:pPr>
    </w:p>
    <w:sectPr w:rsidR="00D307EA" w:rsidRPr="00977A8E" w:rsidSect="008747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6BB1" w:rsidRDefault="00D36BB1" w:rsidP="00BF4048">
      <w:pPr>
        <w:spacing w:after="0" w:line="240" w:lineRule="auto"/>
      </w:pPr>
      <w:r>
        <w:separator/>
      </w:r>
    </w:p>
  </w:endnote>
  <w:endnote w:type="continuationSeparator" w:id="1">
    <w:p w:rsidR="00D36BB1" w:rsidRDefault="00D36BB1" w:rsidP="00BF40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6BB1" w:rsidRDefault="00D36BB1" w:rsidP="00BF4048">
      <w:pPr>
        <w:spacing w:after="0" w:line="240" w:lineRule="auto"/>
      </w:pPr>
      <w:r>
        <w:separator/>
      </w:r>
    </w:p>
  </w:footnote>
  <w:footnote w:type="continuationSeparator" w:id="1">
    <w:p w:rsidR="00D36BB1" w:rsidRDefault="00D36BB1" w:rsidP="00BF40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48" w:rsidRPr="009D6FA9" w:rsidRDefault="00874768" w:rsidP="009D6FA9">
    <w:pPr>
      <w:pStyle w:val="Header"/>
      <w:jc w:val="right"/>
      <w:rPr>
        <w:rFonts w:ascii="Times New Roman" w:hAnsi="Times New Roman" w:cs="Times New Roman"/>
        <w:sz w:val="24"/>
        <w:szCs w:val="24"/>
      </w:rPr>
    </w:pPr>
    <w:r w:rsidRPr="009D6FA9">
      <w:rPr>
        <w:rFonts w:ascii="Times New Roman" w:hAnsi="Times New Roman" w:cs="Times New Roman"/>
        <w:sz w:val="24"/>
        <w:szCs w:val="24"/>
      </w:rPr>
      <w:t xml:space="preserve">GENDER                                                                                                                                         </w:t>
    </w:r>
    <w:sdt>
      <w:sdtPr>
        <w:rPr>
          <w:rFonts w:ascii="Times New Roman" w:hAnsi="Times New Roman" w:cs="Times New Roman"/>
          <w:sz w:val="24"/>
          <w:szCs w:val="24"/>
        </w:rPr>
        <w:id w:val="807368633"/>
        <w:docPartObj>
          <w:docPartGallery w:val="Page Numbers (Top of Page)"/>
          <w:docPartUnique/>
        </w:docPartObj>
      </w:sdtPr>
      <w:sdtEndPr>
        <w:rPr>
          <w:noProof/>
        </w:rPr>
      </w:sdtEndPr>
      <w:sdtContent>
        <w:r w:rsidR="00782BDE" w:rsidRPr="009D6FA9">
          <w:rPr>
            <w:rFonts w:ascii="Times New Roman" w:hAnsi="Times New Roman" w:cs="Times New Roman"/>
            <w:sz w:val="24"/>
            <w:szCs w:val="24"/>
          </w:rPr>
          <w:fldChar w:fldCharType="begin"/>
        </w:r>
        <w:r w:rsidRPr="009D6FA9">
          <w:rPr>
            <w:rFonts w:ascii="Times New Roman" w:hAnsi="Times New Roman" w:cs="Times New Roman"/>
            <w:sz w:val="24"/>
            <w:szCs w:val="24"/>
          </w:rPr>
          <w:instrText xml:space="preserve"> PAGE   \* MERGEFORMAT </w:instrText>
        </w:r>
        <w:r w:rsidR="00782BDE" w:rsidRPr="009D6FA9">
          <w:rPr>
            <w:rFonts w:ascii="Times New Roman" w:hAnsi="Times New Roman" w:cs="Times New Roman"/>
            <w:sz w:val="24"/>
            <w:szCs w:val="24"/>
          </w:rPr>
          <w:fldChar w:fldCharType="separate"/>
        </w:r>
        <w:r w:rsidR="009D6FA9">
          <w:rPr>
            <w:rFonts w:ascii="Times New Roman" w:hAnsi="Times New Roman" w:cs="Times New Roman"/>
            <w:noProof/>
            <w:sz w:val="24"/>
            <w:szCs w:val="24"/>
          </w:rPr>
          <w:t>5</w:t>
        </w:r>
        <w:r w:rsidR="00782BDE" w:rsidRPr="009D6FA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EA" w:rsidRPr="009D6FA9" w:rsidRDefault="00874768" w:rsidP="009D6FA9">
    <w:pPr>
      <w:pStyle w:val="Header"/>
      <w:jc w:val="right"/>
      <w:rPr>
        <w:rFonts w:ascii="Times New Roman" w:hAnsi="Times New Roman" w:cs="Times New Roman"/>
        <w:sz w:val="24"/>
        <w:szCs w:val="24"/>
      </w:rPr>
    </w:pPr>
    <w:r w:rsidRPr="009D6FA9">
      <w:rPr>
        <w:rFonts w:ascii="Times New Roman" w:hAnsi="Times New Roman" w:cs="Times New Roman"/>
        <w:sz w:val="24"/>
        <w:szCs w:val="24"/>
      </w:rPr>
      <w:t xml:space="preserve">Running head: GENDER                                                                                                                 </w:t>
    </w:r>
    <w:sdt>
      <w:sdtPr>
        <w:rPr>
          <w:rFonts w:ascii="Times New Roman" w:hAnsi="Times New Roman" w:cs="Times New Roman"/>
          <w:sz w:val="24"/>
          <w:szCs w:val="24"/>
        </w:rPr>
        <w:id w:val="-2120593237"/>
        <w:docPartObj>
          <w:docPartGallery w:val="Page Numbers (Top of Page)"/>
          <w:docPartUnique/>
        </w:docPartObj>
      </w:sdtPr>
      <w:sdtEndPr>
        <w:rPr>
          <w:noProof/>
        </w:rPr>
      </w:sdtEndPr>
      <w:sdtContent>
        <w:r w:rsidR="00782BDE" w:rsidRPr="009D6FA9">
          <w:rPr>
            <w:rFonts w:ascii="Times New Roman" w:hAnsi="Times New Roman" w:cs="Times New Roman"/>
            <w:sz w:val="24"/>
            <w:szCs w:val="24"/>
          </w:rPr>
          <w:fldChar w:fldCharType="begin"/>
        </w:r>
        <w:r w:rsidRPr="009D6FA9">
          <w:rPr>
            <w:rFonts w:ascii="Times New Roman" w:hAnsi="Times New Roman" w:cs="Times New Roman"/>
            <w:sz w:val="24"/>
            <w:szCs w:val="24"/>
          </w:rPr>
          <w:instrText xml:space="preserve"> PAGE   \* MERGEFORMAT </w:instrText>
        </w:r>
        <w:r w:rsidR="00782BDE" w:rsidRPr="009D6FA9">
          <w:rPr>
            <w:rFonts w:ascii="Times New Roman" w:hAnsi="Times New Roman" w:cs="Times New Roman"/>
            <w:sz w:val="24"/>
            <w:szCs w:val="24"/>
          </w:rPr>
          <w:fldChar w:fldCharType="separate"/>
        </w:r>
        <w:r w:rsidR="009D6FA9">
          <w:rPr>
            <w:rFonts w:ascii="Times New Roman" w:hAnsi="Times New Roman" w:cs="Times New Roman"/>
            <w:noProof/>
            <w:sz w:val="24"/>
            <w:szCs w:val="24"/>
          </w:rPr>
          <w:t>1</w:t>
        </w:r>
        <w:r w:rsidR="00782BDE" w:rsidRPr="009D6FA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77A8E"/>
    <w:rsid w:val="00165B1D"/>
    <w:rsid w:val="001708C3"/>
    <w:rsid w:val="00195DD2"/>
    <w:rsid w:val="001C5F5F"/>
    <w:rsid w:val="001F6549"/>
    <w:rsid w:val="0025718B"/>
    <w:rsid w:val="00371AC9"/>
    <w:rsid w:val="003A1DB0"/>
    <w:rsid w:val="00423F10"/>
    <w:rsid w:val="00486CE6"/>
    <w:rsid w:val="004D10E5"/>
    <w:rsid w:val="00500388"/>
    <w:rsid w:val="00511D3B"/>
    <w:rsid w:val="00523C71"/>
    <w:rsid w:val="00544DA0"/>
    <w:rsid w:val="006A1219"/>
    <w:rsid w:val="006D3872"/>
    <w:rsid w:val="00782BDE"/>
    <w:rsid w:val="007E587A"/>
    <w:rsid w:val="00805661"/>
    <w:rsid w:val="008312A1"/>
    <w:rsid w:val="00856412"/>
    <w:rsid w:val="00864D26"/>
    <w:rsid w:val="00874768"/>
    <w:rsid w:val="00884AC4"/>
    <w:rsid w:val="008F3824"/>
    <w:rsid w:val="00956781"/>
    <w:rsid w:val="00962F39"/>
    <w:rsid w:val="00977A8E"/>
    <w:rsid w:val="009D6FA9"/>
    <w:rsid w:val="00B01AA3"/>
    <w:rsid w:val="00BF4048"/>
    <w:rsid w:val="00C50924"/>
    <w:rsid w:val="00D307EA"/>
    <w:rsid w:val="00D36BB1"/>
    <w:rsid w:val="00DB3346"/>
    <w:rsid w:val="00E41F27"/>
    <w:rsid w:val="00FB0C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B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48"/>
  </w:style>
  <w:style w:type="paragraph" w:styleId="Footer">
    <w:name w:val="footer"/>
    <w:basedOn w:val="Normal"/>
    <w:link w:val="FooterChar"/>
    <w:uiPriority w:val="99"/>
    <w:unhideWhenUsed/>
    <w:rsid w:val="00BF4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48"/>
  </w:style>
  <w:style w:type="character" w:styleId="Hyperlink">
    <w:name w:val="Hyperlink"/>
    <w:basedOn w:val="DefaultParagraphFont"/>
    <w:uiPriority w:val="99"/>
    <w:unhideWhenUsed/>
    <w:rsid w:val="00D307EA"/>
    <w:rPr>
      <w:color w:val="0000FF" w:themeColor="hyperlink"/>
      <w:u w:val="single"/>
    </w:rPr>
  </w:style>
  <w:style w:type="character" w:customStyle="1" w:styleId="itempublisher">
    <w:name w:val="itempublisher"/>
    <w:basedOn w:val="DefaultParagraphFont"/>
    <w:rsid w:val="00486CE6"/>
  </w:style>
  <w:style w:type="paragraph" w:styleId="NormalWeb">
    <w:name w:val="Normal (Web)"/>
    <w:basedOn w:val="Normal"/>
    <w:uiPriority w:val="99"/>
    <w:unhideWhenUsed/>
    <w:rsid w:val="00884A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4AC4"/>
    <w:rPr>
      <w:b/>
      <w:bCs/>
    </w:rPr>
  </w:style>
</w:styles>
</file>

<file path=word/webSettings.xml><?xml version="1.0" encoding="utf-8"?>
<w:webSettings xmlns:r="http://schemas.openxmlformats.org/officeDocument/2006/relationships" xmlns:w="http://schemas.openxmlformats.org/wordprocessingml/2006/main">
  <w:divs>
    <w:div w:id="177559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FC18BCD-B060-4D13-B991-1D2735CDE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kelvinjacks</cp:lastModifiedBy>
  <cp:revision>2</cp:revision>
  <dcterms:created xsi:type="dcterms:W3CDTF">2019-10-15T20:48:00Z</dcterms:created>
  <dcterms:modified xsi:type="dcterms:W3CDTF">2019-10-15T20:48:00Z</dcterms:modified>
</cp:coreProperties>
</file>